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726A24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METODO POTENCIAL ENGENHARIA LTDA - Documento: 58.700.428/0004-70 - Portador: BANCO BRADESCO S.A. - Documento: 60.746.948/0001-12 - Protocolo: 48627 - Data Limite: 16/12/2020 -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METODO POTENCIAL ENGENHARIA LTDA - Documento: 58.700.428/0004-70 - Portador: BANCO BRADESCO S.A. - Documento: 60.746.948/0001-12 - Protocolo: 48629 - Data Limite: 16/12/2020 - Natureza: Duplicata de Prestação de Serviços por Indicação – Comprovante de prestação dos serviços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MONTSERVIC MANUTENCAO INDUSTRIAL EIRELI - Documento: 40.604.472/0001-78 - Portador: SANTANDER - Documento: 90.400.888/0001-42 - Protocolo: 48638 - Data Limite: 16/12/2020 -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RESTECMON INDUSTRIA COMERCIO E SERVICOS - Documento: 25.166.631/0001-06 - Portador: BANCO BRADESCO S.A. - Documento: 60.746.948/0001-12 - Protocolo: 48639 - Data Limite: 16/12/2020 -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4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14 de Dezembro de 2020.</w:t>
      </w:r>
    </w:p>
    <w:p w:rsidR="0092148D" w:rsidRDefault="00726A24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726A24" w:rsidRDefault="00726A24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726A24" w:rsidSect="00617D2A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17D2A"/>
    <w:rsid w:val="00683D97"/>
    <w:rsid w:val="00726A24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617D2A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617D2A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617D2A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617D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617D2A"/>
    <w:pPr>
      <w:spacing w:after="120"/>
    </w:pPr>
  </w:style>
  <w:style w:type="paragraph" w:styleId="Lista">
    <w:name w:val="List"/>
    <w:basedOn w:val="Corpodetexto"/>
    <w:rsid w:val="00617D2A"/>
    <w:rPr>
      <w:rFonts w:cs="Mangal"/>
    </w:rPr>
  </w:style>
  <w:style w:type="paragraph" w:styleId="Legenda">
    <w:name w:val="caption"/>
    <w:basedOn w:val="Padro"/>
    <w:rsid w:val="00617D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617D2A"/>
    <w:pPr>
      <w:suppressLineNumbers/>
    </w:pPr>
    <w:rPr>
      <w:rFonts w:cs="Mangal"/>
    </w:rPr>
  </w:style>
  <w:style w:type="paragraph" w:styleId="Cabealho">
    <w:name w:val="header"/>
    <w:basedOn w:val="Padro"/>
    <w:rsid w:val="00617D2A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617D2A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360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2020-12-14T13:19:00Z</dcterms:modified>
</cp:coreProperties>
</file>